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7F054B0C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195837">
        <w:rPr>
          <w:b/>
          <w:bCs/>
        </w:rPr>
        <w:t>2</w:t>
      </w:r>
      <w:r w:rsidR="00112261">
        <w:rPr>
          <w:b/>
          <w:bCs/>
          <w:lang w:val="en-US"/>
        </w:rPr>
        <w:t>6</w:t>
      </w:r>
      <w:r w:rsidR="00FB7080" w:rsidRPr="003729A0">
        <w:rPr>
          <w:b/>
          <w:bCs/>
        </w:rPr>
        <w:t>.0</w:t>
      </w:r>
      <w:r w:rsidR="00F0282F">
        <w:rPr>
          <w:b/>
          <w:bCs/>
          <w:lang w:val="en-US"/>
        </w:rPr>
        <w:t>3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7FE6106A" w:rsidR="004D4340" w:rsidRPr="00954F53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112261">
        <w:rPr>
          <w:lang w:val="en-US"/>
        </w:rPr>
        <w:t>5</w:t>
      </w:r>
      <w:r w:rsidR="002275CA">
        <w:t>41 მლნ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2275CA">
        <w:t>50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882345">
        <w:rPr>
          <w:rStyle w:val="FootnoteReference"/>
        </w:rPr>
        <w:footnoteReference w:id="2"/>
      </w:r>
      <w:r w:rsidR="00BE7658">
        <w:t>.</w:t>
      </w:r>
      <w:r w:rsidR="00012043">
        <w:t xml:space="preserve"> </w:t>
      </w:r>
    </w:p>
    <w:p w14:paraId="7B4725A1" w14:textId="362218BB" w:rsidR="002E5F4D" w:rsidRDefault="002E5F4D" w:rsidP="00F45F99">
      <w:r>
        <w:t xml:space="preserve">წინა კვირასთან შედარებით, გლობალურად </w:t>
      </w:r>
      <w:r w:rsidR="00A37996">
        <w:t>23</w:t>
      </w:r>
      <w:r w:rsidR="00255BE9">
        <w:rPr>
          <w:lang w:val="en-US"/>
        </w:rPr>
        <w:t>%</w:t>
      </w:r>
      <w:r>
        <w:t>-ით გაზრდილია ვაქცინაცია</w:t>
      </w:r>
      <w:r w:rsidR="00195837">
        <w:t>, წინა კვირასთან შედარებით</w:t>
      </w:r>
      <w:r>
        <w:t>.</w:t>
      </w:r>
      <w:r w:rsidR="00195837">
        <w:t xml:space="preserve"> დღეში კეთდება 1</w:t>
      </w:r>
      <w:r w:rsidR="00747371">
        <w:rPr>
          <w:lang w:val="en-US"/>
        </w:rPr>
        <w:t>4.5</w:t>
      </w:r>
      <w:r w:rsidR="00195837">
        <w:t xml:space="preserve"> მლნ</w:t>
      </w:r>
      <w:r w:rsidR="00747371">
        <w:rPr>
          <w:lang w:val="en-US"/>
        </w:rPr>
        <w:t>-</w:t>
      </w:r>
      <w:r w:rsidR="00747371">
        <w:t>ზე</w:t>
      </w:r>
      <w:r w:rsidR="00195837">
        <w:t xml:space="preserve"> მეტი აცრა.</w:t>
      </w:r>
    </w:p>
    <w:p w14:paraId="6B7641EE" w14:textId="252004C5" w:rsidR="00411497" w:rsidRPr="00625780" w:rsidRDefault="00F45F99" w:rsidP="00F45F99">
      <w:r>
        <w:t xml:space="preserve">არსებული მონაცემებით, </w:t>
      </w:r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703669">
        <w:t>1</w:t>
      </w:r>
      <w:r w:rsidR="002275CA">
        <w:t>43 462 691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2275CA">
        <w:t>91 346 000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 ევროკავშირი (</w:t>
      </w:r>
      <w:r w:rsidR="005C0C94">
        <w:t>6</w:t>
      </w:r>
      <w:r w:rsidR="002275CA">
        <w:t>7 762 918</w:t>
      </w:r>
      <w:r w:rsidR="00810369">
        <w:t xml:space="preserve">), მეოთხეზე </w:t>
      </w:r>
      <w:r w:rsidR="005A6429">
        <w:t>ინდოეთ</w:t>
      </w:r>
      <w:r w:rsidR="00803D84">
        <w:t>ი</w:t>
      </w:r>
      <w:r w:rsidR="005A6429">
        <w:t xml:space="preserve"> (</w:t>
      </w:r>
      <w:r w:rsidR="002275CA">
        <w:t>60 269 782</w:t>
      </w:r>
      <w:r w:rsidR="005A6429">
        <w:t>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5C0C94">
        <w:t>3</w:t>
      </w:r>
      <w:r w:rsidR="002275CA">
        <w:t>3 678 768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954F53">
        <w:t>1</w:t>
      </w:r>
      <w:r w:rsidR="002275CA">
        <w:t>9 254 776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5C0C94">
        <w:t>4</w:t>
      </w:r>
      <w:r w:rsidR="002275CA">
        <w:t> 715 312</w:t>
      </w:r>
      <w:r w:rsidR="00703669">
        <w:t>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</w:t>
      </w:r>
      <w:r w:rsidR="00703669">
        <w:t>1</w:t>
      </w:r>
      <w:r w:rsidR="002275CA">
        <w:t>2 370 419</w:t>
      </w:r>
      <w:r w:rsidR="005A6429">
        <w:t>), მე</w:t>
      </w:r>
      <w:r w:rsidR="00810369">
        <w:t>ცხრე</w:t>
      </w:r>
      <w:r w:rsidR="005A6429">
        <w:t xml:space="preserve"> </w:t>
      </w:r>
      <w:r w:rsidR="005C0C94">
        <w:t>რუსეთი</w:t>
      </w:r>
      <w:r w:rsidR="005A6429">
        <w:t xml:space="preserve"> (</w:t>
      </w:r>
      <w:r w:rsidR="005C0C94">
        <w:t>10 600 000</w:t>
      </w:r>
      <w:r w:rsidR="005A6429">
        <w:t>), მე</w:t>
      </w:r>
      <w:r w:rsidR="00810369">
        <w:t>ათე</w:t>
      </w:r>
      <w:r w:rsidR="002275CA">
        <w:t>ზე აიწია ინდონეზიამ</w:t>
      </w:r>
      <w:r w:rsidR="00810369">
        <w:t xml:space="preserve"> (</w:t>
      </w:r>
      <w:r w:rsidR="002275CA">
        <w:t>10 497 848</w:t>
      </w:r>
      <w:r w:rsidR="00810369">
        <w:t>)</w:t>
      </w:r>
      <w:r w:rsidR="005C0C94">
        <w:t>.</w:t>
      </w:r>
    </w:p>
    <w:bookmarkEnd w:id="1"/>
    <w:p w14:paraId="63D9A039" w14:textId="7E8C6D3F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112261">
        <w:rPr>
          <w:lang w:val="en-US"/>
        </w:rPr>
        <w:t>7</w:t>
      </w:r>
      <w:r w:rsidR="002275CA">
        <w:t>9</w:t>
      </w:r>
      <w:r w:rsidR="00112261">
        <w:rPr>
          <w:lang w:val="en-US"/>
        </w:rPr>
        <w:t>.3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</w:t>
      </w:r>
      <w:r w:rsidR="002275CA">
        <w:t>4.4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112261">
        <w:rPr>
          <w:lang w:val="en-US"/>
        </w:rPr>
        <w:t>3</w:t>
      </w:r>
      <w:r w:rsidR="002275CA">
        <w:t>4.8</w:t>
      </w:r>
      <w:r w:rsidR="00121646">
        <w:t>%), მე</w:t>
      </w:r>
      <w:r w:rsidR="003512F0">
        <w:t>ოთხე</w:t>
      </w:r>
      <w:r w:rsidR="00954F53">
        <w:t xml:space="preserve"> </w:t>
      </w:r>
      <w:r w:rsidR="00810369">
        <w:t>კაიმანის კუნძულები (</w:t>
      </w:r>
      <w:r w:rsidR="00112261">
        <w:rPr>
          <w:lang w:val="en-US"/>
        </w:rPr>
        <w:t>2</w:t>
      </w:r>
      <w:r w:rsidR="002275CA">
        <w:t>3</w:t>
      </w:r>
      <w:r w:rsidR="001D5937">
        <w:t>.5</w:t>
      </w:r>
      <w:r w:rsidR="00810369">
        <w:t xml:space="preserve">%), </w:t>
      </w:r>
      <w:r w:rsidR="00112261">
        <w:t>მეხუთე მონაკო (21.</w:t>
      </w:r>
      <w:r w:rsidR="002275CA">
        <w:t>9</w:t>
      </w:r>
      <w:r w:rsidR="00112261">
        <w:t xml:space="preserve">%), </w:t>
      </w:r>
      <w:r w:rsidR="00810369">
        <w:t xml:space="preserve">მეექვსე </w:t>
      </w:r>
      <w:r w:rsidR="009F1C01">
        <w:t>ბ</w:t>
      </w:r>
      <w:r w:rsidR="001D5937">
        <w:t>ერმუდები</w:t>
      </w:r>
      <w:r w:rsidR="009F1C01">
        <w:rPr>
          <w:lang w:val="en-US"/>
        </w:rPr>
        <w:t xml:space="preserve"> (</w:t>
      </w:r>
      <w:r w:rsidR="00112261">
        <w:t>21.1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E437E4">
        <w:t>ჩილე</w:t>
      </w:r>
      <w:r w:rsidR="00983101">
        <w:t xml:space="preserve"> (</w:t>
      </w:r>
      <w:r w:rsidR="00803D84">
        <w:t>1</w:t>
      </w:r>
      <w:r w:rsidR="002275CA">
        <w:t>7.1</w:t>
      </w:r>
      <w:r w:rsidR="00983101">
        <w:t xml:space="preserve">%), </w:t>
      </w:r>
      <w:r w:rsidR="00112261">
        <w:t xml:space="preserve">მერვე </w:t>
      </w:r>
      <w:r w:rsidR="002275CA">
        <w:t>აშშ</w:t>
      </w:r>
      <w:r w:rsidR="00112261">
        <w:t xml:space="preserve"> (1</w:t>
      </w:r>
      <w:r w:rsidR="002275CA">
        <w:t>5.5</w:t>
      </w:r>
      <w:r w:rsidR="00112261">
        <w:t xml:space="preserve">%), </w:t>
      </w:r>
      <w:r w:rsidR="00983101">
        <w:t>მე</w:t>
      </w:r>
      <w:r w:rsidR="00810369">
        <w:t>ცხრე</w:t>
      </w:r>
      <w:r w:rsidR="00983101">
        <w:t xml:space="preserve"> </w:t>
      </w:r>
      <w:r w:rsidR="002275CA">
        <w:t>ბაჰრეინი</w:t>
      </w:r>
      <w:r w:rsidR="00112261">
        <w:t xml:space="preserve"> </w:t>
      </w:r>
      <w:r w:rsidR="00983101">
        <w:t>(</w:t>
      </w:r>
      <w:r w:rsidR="001D5937">
        <w:t>1</w:t>
      </w:r>
      <w:r w:rsidR="00112261">
        <w:t>4.</w:t>
      </w:r>
      <w:r w:rsidR="002275CA">
        <w:t>4</w:t>
      </w:r>
      <w:r w:rsidR="00983101">
        <w:t xml:space="preserve">%), </w:t>
      </w:r>
      <w:r w:rsidR="00F0282F">
        <w:t xml:space="preserve">მეათე </w:t>
      </w:r>
      <w:r w:rsidR="002275CA">
        <w:t>სერბეთი</w:t>
      </w:r>
      <w:r w:rsidR="00F0282F">
        <w:t xml:space="preserve"> (</w:t>
      </w:r>
      <w:r w:rsidR="001D5937">
        <w:t>1</w:t>
      </w:r>
      <w:r w:rsidR="00E437E4">
        <w:t>3.</w:t>
      </w:r>
      <w:r w:rsidR="002275CA">
        <w:t>5</w:t>
      </w:r>
      <w:r w:rsidR="00F0282F">
        <w:t>%)</w:t>
      </w:r>
      <w:r w:rsidR="00121646">
        <w:t>.</w:t>
      </w:r>
      <w:bookmarkEnd w:id="2"/>
      <w:r w:rsidR="00112261">
        <w:t xml:space="preserve"> ევროკავშირის ქვეყნები</w:t>
      </w:r>
      <w:r w:rsidR="002275CA">
        <w:t>დან</w:t>
      </w:r>
      <w:r w:rsidR="00112261">
        <w:t xml:space="preserve"> ლიდერო</w:t>
      </w:r>
      <w:r w:rsidR="002275CA">
        <w:t>ს</w:t>
      </w:r>
      <w:r w:rsidR="00112261">
        <w:t xml:space="preserve"> მ</w:t>
      </w:r>
      <w:r w:rsidR="002275CA">
        <w:t>ალტა</w:t>
      </w:r>
      <w:r w:rsidR="00112261">
        <w:t xml:space="preserve"> - </w:t>
      </w:r>
      <w:r w:rsidR="002275CA">
        <w:t>11.3</w:t>
      </w:r>
      <w:r w:rsidR="00112261">
        <w:t>%</w:t>
      </w:r>
      <w:r w:rsidR="002275CA">
        <w:t>.</w:t>
      </w:r>
    </w:p>
    <w:p w14:paraId="3AF5502A" w14:textId="1C00A6C7" w:rsidR="00862E83" w:rsidRDefault="00862E83" w:rsidP="00F45F99">
      <w:r>
        <w:t>ისრაელი 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>
        <w:t xml:space="preserve"> მოსახლე</w:t>
      </w:r>
      <w:r w:rsidR="00FD6A5D">
        <w:t>ო</w:t>
      </w:r>
      <w:r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 w:rsidR="00FF4ECF">
        <w:t>5</w:t>
      </w:r>
      <w:r w:rsidR="005C0C94">
        <w:t>4.</w:t>
      </w:r>
      <w:r w:rsidR="002275CA">
        <w:t>9</w:t>
      </w:r>
      <w:r w:rsidR="00FF4ECF">
        <w:t>%</w:t>
      </w:r>
      <w:r w:rsidR="00117E45">
        <w:t xml:space="preserve">, </w:t>
      </w:r>
      <w:r w:rsidR="00611A46">
        <w:t>რაც მეტია ვიდრე</w:t>
      </w:r>
      <w:r w:rsidR="00117E45">
        <w:t xml:space="preserve"> </w:t>
      </w:r>
      <w:r w:rsidR="004D6FB9">
        <w:t>სეიშელ</w:t>
      </w:r>
      <w:r w:rsidR="004D5C83">
        <w:t>ი</w:t>
      </w:r>
      <w:r w:rsidR="004D6FB9">
        <w:t xml:space="preserve"> </w:t>
      </w:r>
      <w:r w:rsidR="002275CA">
        <w:t>50.3</w:t>
      </w:r>
      <w:r w:rsidR="00FF4ECF">
        <w:t>%</w:t>
      </w:r>
      <w:r w:rsidR="00312CB5">
        <w:t xml:space="preserve"> </w:t>
      </w:r>
      <w:r w:rsidR="00FD6A5D">
        <w:t>და გაერთიანებულ არაბთა ემირატებ</w:t>
      </w:r>
      <w:r w:rsidR="004D5C83">
        <w:t>ი</w:t>
      </w:r>
      <w:r w:rsidR="005C0C94">
        <w:t xml:space="preserve"> </w:t>
      </w:r>
      <w:r w:rsidR="00FF4ECF">
        <w:t>3</w:t>
      </w:r>
      <w:r w:rsidR="002275CA">
        <w:t>7.6</w:t>
      </w:r>
      <w:r w:rsidR="00FF4ECF">
        <w:t>%</w:t>
      </w:r>
      <w:r w:rsidR="00312CB5">
        <w:t>,</w:t>
      </w:r>
      <w:r w:rsidR="004D6FB9">
        <w:t xml:space="preserve"> </w:t>
      </w:r>
      <w:r w:rsidR="00983101">
        <w:t xml:space="preserve">მალდივები </w:t>
      </w:r>
      <w:r w:rsidR="005C0C94">
        <w:t>3</w:t>
      </w:r>
      <w:r w:rsidR="002275CA">
        <w:t>1.2</w:t>
      </w:r>
      <w:r w:rsidR="00FF4ECF">
        <w:t>%</w:t>
      </w:r>
      <w:r w:rsidR="00312CB5">
        <w:t>,</w:t>
      </w:r>
      <w:r w:rsidR="00983101">
        <w:t xml:space="preserve"> </w:t>
      </w:r>
      <w:r w:rsidR="00FF4ECF">
        <w:t>2</w:t>
      </w:r>
      <w:r w:rsidR="00611A46">
        <w:t xml:space="preserve">-ჯერ მეტი ვიდრე </w:t>
      </w:r>
      <w:r w:rsidR="005C0C94">
        <w:t>ჩილე 2</w:t>
      </w:r>
      <w:r w:rsidR="002275CA">
        <w:t>5</w:t>
      </w:r>
      <w:r w:rsidR="005C0C94">
        <w:t xml:space="preserve">.2%, </w:t>
      </w:r>
      <w:r w:rsidR="00F45F99">
        <w:t>გაერთიანებულ სამეფო</w:t>
      </w:r>
      <w:r w:rsidR="00312CB5">
        <w:t xml:space="preserve"> </w:t>
      </w:r>
      <w:r w:rsidR="00FF4ECF">
        <w:t>2</w:t>
      </w:r>
      <w:r w:rsidR="002275CA">
        <w:t>5</w:t>
      </w:r>
      <w:r w:rsidR="005C0C94">
        <w:t>.</w:t>
      </w:r>
      <w:r w:rsidR="002275CA">
        <w:t>2</w:t>
      </w:r>
      <w:r w:rsidR="00FF4ECF">
        <w:t>%</w:t>
      </w:r>
      <w:r w:rsidR="005C0C94">
        <w:t>, ბაჰრეინი 2</w:t>
      </w:r>
      <w:r w:rsidR="002275CA">
        <w:t>4</w:t>
      </w:r>
      <w:r w:rsidR="005C0C94">
        <w:t xml:space="preserve">.4% და </w:t>
      </w:r>
      <w:r w:rsidR="00FF4ECF">
        <w:t>2,5</w:t>
      </w:r>
      <w:r w:rsidR="005C258B">
        <w:t>-</w:t>
      </w:r>
      <w:r w:rsidR="00F87A3E">
        <w:t>ჯერ</w:t>
      </w:r>
      <w:r w:rsidR="00611A46">
        <w:t xml:space="preserve"> მეტი ვიდრე </w:t>
      </w:r>
      <w:r w:rsidR="00726277">
        <w:t>აშშ</w:t>
      </w:r>
      <w:r w:rsidR="009F1C01">
        <w:t> </w:t>
      </w:r>
      <w:r w:rsidR="005C0C94">
        <w:t>2</w:t>
      </w:r>
      <w:r w:rsidR="002275CA">
        <w:t>2.1</w:t>
      </w:r>
      <w:r w:rsidR="00FF4ECF">
        <w:t>%</w:t>
      </w:r>
      <w:r w:rsidR="00312CB5">
        <w:t>.</w:t>
      </w:r>
      <w:r w:rsidR="004C34CD">
        <w:t xml:space="preserve"> </w:t>
      </w:r>
    </w:p>
    <w:p w14:paraId="5AA3A5BD" w14:textId="41BB8C83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3" w:name="_Hlk65394696"/>
      <w:r w:rsidR="00954F53">
        <w:t xml:space="preserve">გაკეთებულია </w:t>
      </w:r>
      <w:r w:rsidR="002275CA">
        <w:t>80 662 107</w:t>
      </w:r>
      <w:r w:rsidR="00B91ED0">
        <w:t xml:space="preserve">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</w:t>
      </w:r>
      <w:r w:rsidR="002275CA">
        <w:t>2</w:t>
      </w:r>
      <w:r w:rsidR="00112261">
        <w:rPr>
          <w:lang w:val="en-US"/>
        </w:rPr>
        <w:t>.3</w:t>
      </w:r>
      <w:r w:rsidR="00FF4ECF">
        <w:t>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2275CA">
        <w:t>5.3</w:t>
      </w:r>
      <w:r w:rsidR="004F610C">
        <w:t>%</w:t>
      </w:r>
      <w:bookmarkEnd w:id="3"/>
      <w:r w:rsidR="00FE6EAB">
        <w:rPr>
          <w:rStyle w:val="FootnoteReference"/>
        </w:rPr>
        <w:footnoteReference w:id="3"/>
      </w:r>
      <w:r w:rsidR="00FE6EAB">
        <w:t>,</w:t>
      </w:r>
      <w:r w:rsidR="00FE6EAB">
        <w:rPr>
          <w:rStyle w:val="FootnoteReference"/>
        </w:rPr>
        <w:footnoteReference w:id="4"/>
      </w:r>
      <w:r w:rsidR="004F610C">
        <w:t>.</w:t>
      </w:r>
      <w:r w:rsidR="00FF4ECF">
        <w:t xml:space="preserve"> აბსოლუტურ ციფრებში ლიდერობს გერმანია (12</w:t>
      </w:r>
      <w:r w:rsidR="002275CA">
        <w:t> 370 419</w:t>
      </w:r>
      <w:r w:rsidR="00FF4ECF">
        <w:t xml:space="preserve"> გახარჯული დოზა).</w:t>
      </w:r>
    </w:p>
    <w:p w14:paraId="28BF2D6B" w14:textId="2F78D099" w:rsidR="002D3C38" w:rsidRPr="002C0C49" w:rsidRDefault="002D3C38" w:rsidP="00891374">
      <w:pPr>
        <w:rPr>
          <w:i/>
          <w:iCs/>
        </w:rPr>
      </w:pPr>
      <w:r w:rsidRPr="002C0C49">
        <w:rPr>
          <w:i/>
          <w:iCs/>
        </w:rPr>
        <w:t xml:space="preserve">ბლუმბერგის მონაცემებში ასახულია საქართველო, ადმინისტრირებული </w:t>
      </w:r>
      <w:r w:rsidR="005C0C94" w:rsidRPr="002C0C49">
        <w:rPr>
          <w:i/>
          <w:iCs/>
        </w:rPr>
        <w:t>4 </w:t>
      </w:r>
      <w:r w:rsidR="002C0C49" w:rsidRPr="002C0C49">
        <w:rPr>
          <w:i/>
          <w:iCs/>
        </w:rPr>
        <w:t>854</w:t>
      </w:r>
      <w:r w:rsidR="005C0C94" w:rsidRPr="002C0C49">
        <w:rPr>
          <w:i/>
          <w:iCs/>
        </w:rPr>
        <w:t xml:space="preserve"> </w:t>
      </w:r>
      <w:r w:rsidRPr="002C0C49">
        <w:rPr>
          <w:i/>
          <w:iCs/>
        </w:rPr>
        <w:t>დოზით.</w:t>
      </w:r>
    </w:p>
    <w:p w14:paraId="40D960C7" w14:textId="56C5066E" w:rsidR="00B63C62" w:rsidRDefault="00B63C62" w:rsidP="00891374">
      <w:r>
        <w:t>აღნიშნულ ქვეყნებში (29 ქვეყანა) ვაქცინების მწარმოებლის მიხედვით</w:t>
      </w:r>
      <w:r w:rsidR="00654921">
        <w:t xml:space="preserve"> მოხმარება</w:t>
      </w:r>
      <w:r w:rsidR="00654921" w:rsidRPr="00654921">
        <w:t xml:space="preserve"> </w:t>
      </w:r>
      <w:r w:rsidR="00654921">
        <w:t>მერყეობს:</w:t>
      </w:r>
    </w:p>
    <w:p w14:paraId="7D9576C9" w14:textId="453EA545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</w:t>
      </w:r>
      <w:r w:rsidR="00FF4ECF">
        <w:t>1</w:t>
      </w:r>
      <w:r w:rsidR="00B832AB">
        <w:t>4.2</w:t>
      </w:r>
      <w:r w:rsidR="00FF4ECF">
        <w:t xml:space="preserve">%-იდან </w:t>
      </w:r>
      <w:r>
        <w:t xml:space="preserve">(ჩეხეთი) </w:t>
      </w:r>
      <w:r w:rsidR="00FF4ECF">
        <w:t>5</w:t>
      </w:r>
      <w:r w:rsidR="00B832AB">
        <w:t>3.1</w:t>
      </w:r>
      <w:r>
        <w:t>%-მდე (</w:t>
      </w:r>
      <w:r w:rsidR="00B832AB">
        <w:t>ლატვია</w:t>
      </w:r>
      <w:r>
        <w:t>)</w:t>
      </w:r>
      <w:r w:rsidR="00FF4ECF">
        <w:t xml:space="preserve">, ხოლო 0% - ლიხტენშტეინი, სადაც ეს ვაქცინა არ არის შეტანილი  </w:t>
      </w:r>
    </w:p>
    <w:p w14:paraId="4F87883A" w14:textId="5356979A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</w:t>
      </w:r>
      <w:r w:rsidR="00FF4ECF">
        <w:t>2</w:t>
      </w:r>
      <w:r w:rsidR="00B832AB">
        <w:t>5</w:t>
      </w:r>
      <w:r w:rsidR="00FF4ECF">
        <w:t>.9</w:t>
      </w:r>
      <w:r>
        <w:t>%-იდან (</w:t>
      </w:r>
      <w:r w:rsidR="00FF4ECF">
        <w:t>ლატვია</w:t>
      </w:r>
      <w:r>
        <w:t>) 7</w:t>
      </w:r>
      <w:r w:rsidR="00FF4ECF">
        <w:t>6.2</w:t>
      </w:r>
      <w:r>
        <w:t>%-მდე (</w:t>
      </w:r>
      <w:r w:rsidR="00FF4ECF">
        <w:t>ჩეხეთი</w:t>
      </w:r>
      <w:r>
        <w:t>)</w:t>
      </w:r>
    </w:p>
    <w:p w14:paraId="206778E7" w14:textId="1915BE8A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3.</w:t>
      </w:r>
      <w:r w:rsidR="00B832AB">
        <w:t>1</w:t>
      </w:r>
      <w:r>
        <w:t>%-დან (</w:t>
      </w:r>
      <w:r w:rsidR="00FF4ECF">
        <w:t>უნგრეთი</w:t>
      </w:r>
      <w:r>
        <w:t xml:space="preserve">) </w:t>
      </w:r>
      <w:r w:rsidR="00FF4ECF">
        <w:t>47.1</w:t>
      </w:r>
      <w:r>
        <w:t>%-მდე (</w:t>
      </w:r>
      <w:r w:rsidR="00FF4ECF">
        <w:t>ლიხტენშტეინი</w:t>
      </w:r>
      <w:r>
        <w:t>)</w:t>
      </w:r>
    </w:p>
    <w:p w14:paraId="02473D7E" w14:textId="2607FF5D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</w:t>
      </w:r>
      <w:r w:rsidR="00B832AB">
        <w:t>15.5</w:t>
      </w:r>
      <w:r>
        <w:t>% (უნგრეთი)</w:t>
      </w:r>
    </w:p>
    <w:p w14:paraId="1F3B3533" w14:textId="76CBF967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</w:t>
      </w:r>
      <w:r w:rsidR="00B832AB">
        <w:t>1.5</w:t>
      </w:r>
      <w:r>
        <w:t>% (უნგრეთი)</w:t>
      </w:r>
    </w:p>
    <w:p w14:paraId="2A26E116" w14:textId="1EE3B0CF" w:rsidR="002777D3" w:rsidRDefault="00F24D93" w:rsidP="002777D3">
      <w:pPr>
        <w:rPr>
          <w:rFonts w:eastAsia="Times New Roman" w:cs="Arial"/>
          <w:color w:val="000000"/>
          <w:sz w:val="23"/>
          <w:szCs w:val="23"/>
        </w:rPr>
      </w:pPr>
      <w:r>
        <w:t xml:space="preserve">ოფიციალური მონაცემებით, გლობალურად, ადმინისტრირებული ვაქცინებიდან გამოყენების მხრივ </w:t>
      </w:r>
      <w:r w:rsidRPr="000A3D0F">
        <w:t>Pfizer (</w:t>
      </w:r>
      <w:r w:rsidR="00B57558">
        <w:t>მინიმუმ 80</w:t>
      </w:r>
      <w:r w:rsidRPr="000A3D0F">
        <w:t xml:space="preserve"> </w:t>
      </w:r>
      <w:r>
        <w:t>მლნ</w:t>
      </w:r>
      <w:r w:rsidRPr="000A3D0F">
        <w:t>)</w:t>
      </w:r>
      <w:r>
        <w:t xml:space="preserve"> და </w:t>
      </w:r>
      <w:r w:rsidRPr="000A3D0F">
        <w:t>Moderna (</w:t>
      </w:r>
      <w:r w:rsidR="00B57558">
        <w:t>მინიმუმ 56</w:t>
      </w:r>
      <w:r w:rsidR="002D4783">
        <w:t xml:space="preserve"> </w:t>
      </w:r>
      <w:r>
        <w:t xml:space="preserve">მლნ), შემდეგ </w:t>
      </w:r>
      <w:r w:rsidRPr="000A3D0F">
        <w:t xml:space="preserve">AstraZeneca </w:t>
      </w:r>
      <w:r>
        <w:t xml:space="preserve">და </w:t>
      </w:r>
      <w:r w:rsidRPr="000A3D0F">
        <w:t xml:space="preserve">Sinovac, </w:t>
      </w:r>
      <w:r>
        <w:t>თუმცა ქვეყნების ნაწილი არ უთითებს გამოყენებულ ვაქცინას</w:t>
      </w:r>
      <w:r w:rsidR="00243930">
        <w:t xml:space="preserve"> და</w:t>
      </w:r>
      <w:r>
        <w:t xml:space="preserve"> ციფრები საორიენტაციოა</w:t>
      </w:r>
      <w:r>
        <w:rPr>
          <w:rStyle w:val="FootnoteReference"/>
        </w:rPr>
        <w:footnoteReference w:id="5"/>
      </w:r>
      <w:r>
        <w:t>.</w:t>
      </w:r>
      <w:r w:rsidR="009B114C">
        <w:t xml:space="preserve"> </w:t>
      </w:r>
    </w:p>
    <w:p w14:paraId="622D9CF8" w14:textId="35761977" w:rsidR="00B91ED0" w:rsidRDefault="00B57558" w:rsidP="002C0C49">
      <w:pPr>
        <w:spacing w:after="0"/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 xml:space="preserve">ამ </w:t>
      </w:r>
      <w:r w:rsidR="002C0C49">
        <w:rPr>
          <w:rFonts w:eastAsia="Times New Roman" w:cs="Arial"/>
          <w:color w:val="000000"/>
          <w:sz w:val="23"/>
          <w:szCs w:val="23"/>
        </w:rPr>
        <w:t>პერიოდზე</w:t>
      </w:r>
      <w:r w:rsidR="00B832AB">
        <w:rPr>
          <w:rStyle w:val="FootnoteReference"/>
          <w:rFonts w:eastAsia="Times New Roman" w:cs="Arial"/>
          <w:color w:val="000000"/>
          <w:sz w:val="23"/>
          <w:szCs w:val="23"/>
        </w:rPr>
        <w:footnoteReference w:id="6"/>
      </w:r>
      <w:r>
        <w:rPr>
          <w:rFonts w:eastAsia="Times New Roman" w:cs="Arial"/>
          <w:color w:val="000000"/>
          <w:sz w:val="23"/>
          <w:szCs w:val="23"/>
        </w:rPr>
        <w:t>:</w:t>
      </w:r>
    </w:p>
    <w:p w14:paraId="3B442C04" w14:textId="62162312" w:rsidR="00B57558" w:rsidRPr="00B57558" w:rsidRDefault="00B57558" w:rsidP="002C0C49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3B761BB9" w14:textId="6DE8E873" w:rsidR="00B57558" w:rsidRPr="00B57558" w:rsidRDefault="00B57558" w:rsidP="002C0C49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>ფაზა - 3</w:t>
      </w:r>
      <w:r w:rsidR="00B832AB">
        <w:rPr>
          <w:rFonts w:eastAsia="Times New Roman" w:cs="Arial"/>
          <w:color w:val="000000"/>
          <w:sz w:val="23"/>
          <w:szCs w:val="23"/>
          <w:lang w:val="en-US"/>
        </w:rPr>
        <w:t>3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3D126139" w14:textId="5EC34796" w:rsidR="00B57558" w:rsidRPr="00B57558" w:rsidRDefault="00B57558" w:rsidP="002C0C49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>ფაზა - 4</w:t>
      </w:r>
      <w:r w:rsidR="00B832AB">
        <w:rPr>
          <w:rFonts w:eastAsia="Times New Roman" w:cs="Arial"/>
          <w:color w:val="000000"/>
          <w:sz w:val="23"/>
          <w:szCs w:val="23"/>
          <w:lang w:val="en-US"/>
        </w:rPr>
        <w:t>5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68FA9CB4" w14:textId="48328FB3" w:rsidR="00B57558" w:rsidRPr="00B57558" w:rsidRDefault="00B57558" w:rsidP="002C0C49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ავტორიზება - 6 ვაქცინა</w:t>
      </w:r>
    </w:p>
    <w:p w14:paraId="56BFA5B6" w14:textId="731A4D32" w:rsidR="00B57558" w:rsidRPr="00B57558" w:rsidRDefault="00B57558" w:rsidP="002C0C49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lastRenderedPageBreak/>
        <w:t>ნებადართული - 7 ვაქცინა</w:t>
      </w:r>
    </w:p>
    <w:p w14:paraId="53105DE4" w14:textId="569514D4" w:rsidR="00B57558" w:rsidRPr="00B57558" w:rsidRDefault="00B57558" w:rsidP="002C0C49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აიკრძალა / შეწყდა კვლევა - 4 ვაქცინა</w:t>
      </w:r>
    </w:p>
    <w:p w14:paraId="5DDD0A01" w14:textId="784BA234" w:rsidR="002D3C38" w:rsidRDefault="002D3C38" w:rsidP="002C0C49">
      <w:pPr>
        <w:spacing w:after="0"/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ქვეყნები, რომელსაც 2</w:t>
      </w:r>
      <w:r w:rsidR="00B832AB">
        <w:rPr>
          <w:rFonts w:eastAsia="Times New Roman" w:cs="Arial"/>
          <w:color w:val="000000"/>
          <w:sz w:val="23"/>
          <w:szCs w:val="23"/>
        </w:rPr>
        <w:t>6</w:t>
      </w:r>
      <w:r>
        <w:rPr>
          <w:rFonts w:eastAsia="Times New Roman" w:cs="Arial"/>
          <w:color w:val="000000"/>
          <w:sz w:val="23"/>
          <w:szCs w:val="23"/>
        </w:rPr>
        <w:t xml:space="preserve"> მარტის მდგომარეობით, აქვს მოსახლეობის უნივერსალური მოცვა:</w:t>
      </w:r>
    </w:p>
    <w:p w14:paraId="41718304" w14:textId="0C95C000" w:rsidR="002D3C38" w:rsidRPr="00B832AB" w:rsidRDefault="002D3C38" w:rsidP="002C0C49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არაბთა გაერთიანებული საემიროები </w:t>
      </w:r>
    </w:p>
    <w:p w14:paraId="6A11AC89" w14:textId="67F36E01" w:rsidR="002D3C38" w:rsidRPr="00B832AB" w:rsidRDefault="002D3C38" w:rsidP="002C0C49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ბულგარეთი </w:t>
      </w:r>
    </w:p>
    <w:p w14:paraId="0430A046" w14:textId="1A01BD45" w:rsidR="002D3C38" w:rsidRPr="00B832AB" w:rsidRDefault="002D3C38" w:rsidP="002C0C49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ისრაელი </w:t>
      </w:r>
    </w:p>
    <w:p w14:paraId="4FC6B617" w14:textId="3FA399F7" w:rsidR="00B832AB" w:rsidRPr="00B832AB" w:rsidRDefault="00B832AB" w:rsidP="002C0C49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რუმინეთი </w:t>
      </w:r>
    </w:p>
    <w:p w14:paraId="0A2C1ACD" w14:textId="30BC2FE2" w:rsidR="008D1936" w:rsidRPr="002C0C49" w:rsidRDefault="008D1936" w:rsidP="008D1936">
      <w:pPr>
        <w:rPr>
          <w:rFonts w:eastAsia="Times New Roman" w:cs="Arial"/>
          <w:b/>
          <w:bCs/>
          <w:color w:val="000000"/>
          <w:sz w:val="23"/>
          <w:szCs w:val="23"/>
        </w:rPr>
      </w:pPr>
      <w:r w:rsidRPr="002C0C49">
        <w:rPr>
          <w:rFonts w:eastAsia="Times New Roman" w:cs="Arial"/>
          <w:b/>
          <w:bCs/>
          <w:color w:val="000000"/>
          <w:sz w:val="23"/>
          <w:szCs w:val="23"/>
        </w:rPr>
        <w:t>გაერთიანებული სამეფო</w:t>
      </w:r>
    </w:p>
    <w:p w14:paraId="40A6E945" w14:textId="2B29BB9D" w:rsidR="008D1936" w:rsidRPr="002C0C49" w:rsidRDefault="008D1936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>ვაქცინაცია დაიწყო 110 დღის წინ</w:t>
      </w:r>
    </w:p>
    <w:p w14:paraId="7B0F37F8" w14:textId="17D4CF88" w:rsidR="008D1936" w:rsidRPr="002C0C49" w:rsidRDefault="008D1936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 xml:space="preserve">აცრილია მოსახლეობის </w:t>
      </w:r>
      <w:r w:rsidR="002C0C49" w:rsidRPr="002C0C49">
        <w:rPr>
          <w:rFonts w:eastAsia="Times New Roman" w:cs="Arial"/>
          <w:color w:val="000000"/>
          <w:sz w:val="23"/>
          <w:szCs w:val="23"/>
        </w:rPr>
        <w:t xml:space="preserve">25.2% მინიმუმ ერთ დოზით </w:t>
      </w:r>
    </w:p>
    <w:p w14:paraId="7D612DF1" w14:textId="1CA6AD5F" w:rsidR="002C0C49" w:rsidRPr="008D1936" w:rsidRDefault="002C0C49" w:rsidP="002C0C49">
      <w:pPr>
        <w:jc w:val="center"/>
        <w:rPr>
          <w:rFonts w:eastAsia="Times New Roman" w:cs="Arial"/>
          <w:color w:val="000000"/>
          <w:sz w:val="23"/>
          <w:szCs w:val="23"/>
          <w:lang w:val="en-US"/>
        </w:rPr>
      </w:pPr>
      <w:r>
        <w:rPr>
          <w:noProof/>
        </w:rPr>
        <w:drawing>
          <wp:inline distT="0" distB="0" distL="0" distR="0" wp14:anchorId="71A511AF" wp14:editId="55B966D2">
            <wp:extent cx="4796177" cy="3387256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48" cy="339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1CEE" w14:textId="77777777" w:rsidR="002D3C38" w:rsidRPr="008D1936" w:rsidRDefault="002D3C38" w:rsidP="00B57558">
      <w:pPr>
        <w:rPr>
          <w:rFonts w:eastAsia="Times New Roman" w:cs="Arial"/>
          <w:color w:val="000000"/>
          <w:sz w:val="23"/>
          <w:szCs w:val="23"/>
        </w:rPr>
      </w:pPr>
    </w:p>
    <w:p w14:paraId="2712291F" w14:textId="4336CADA" w:rsidR="002D3C38" w:rsidRPr="002D3C38" w:rsidRDefault="002C0C49" w:rsidP="002C0C49">
      <w:pPr>
        <w:jc w:val="center"/>
        <w:rPr>
          <w:rFonts w:eastAsia="Times New Roman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3F1B7A09" wp14:editId="4A84FBCA">
            <wp:extent cx="4773658" cy="3371353"/>
            <wp:effectExtent l="0" t="0" r="825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54" cy="337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A026" w14:textId="77777777" w:rsidR="002C0C49" w:rsidRPr="002C0C49" w:rsidRDefault="002C0C49" w:rsidP="002C0C49">
      <w:pPr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rFonts w:eastAsia="Times New Roman" w:cs="Arial"/>
          <w:b/>
          <w:bCs/>
          <w:color w:val="000000"/>
          <w:sz w:val="23"/>
          <w:szCs w:val="23"/>
        </w:rPr>
        <w:lastRenderedPageBreak/>
        <w:t>რუსეთი</w:t>
      </w:r>
    </w:p>
    <w:p w14:paraId="0B2DC439" w14:textId="77777777" w:rsidR="002C0C49" w:rsidRP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>ვაქცინაცია დაიწყო 11</w:t>
      </w:r>
      <w:r>
        <w:rPr>
          <w:rFonts w:eastAsia="Times New Roman" w:cs="Arial"/>
          <w:color w:val="000000"/>
          <w:sz w:val="23"/>
          <w:szCs w:val="23"/>
        </w:rPr>
        <w:t>4</w:t>
      </w:r>
      <w:r w:rsidRPr="002C0C49">
        <w:rPr>
          <w:rFonts w:eastAsia="Times New Roman" w:cs="Arial"/>
          <w:color w:val="000000"/>
          <w:sz w:val="23"/>
          <w:szCs w:val="23"/>
        </w:rPr>
        <w:t xml:space="preserve"> დღის წინ</w:t>
      </w:r>
    </w:p>
    <w:p w14:paraId="75CD8031" w14:textId="329DA953" w:rsid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 xml:space="preserve">აცრილია მოსახლეობის </w:t>
      </w:r>
      <w:r>
        <w:rPr>
          <w:rFonts w:eastAsia="Times New Roman" w:cs="Arial"/>
          <w:color w:val="000000"/>
          <w:sz w:val="23"/>
          <w:szCs w:val="23"/>
        </w:rPr>
        <w:t>3.6</w:t>
      </w:r>
      <w:r w:rsidRPr="002C0C49">
        <w:rPr>
          <w:rFonts w:eastAsia="Times New Roman" w:cs="Arial"/>
          <w:color w:val="000000"/>
          <w:sz w:val="23"/>
          <w:szCs w:val="23"/>
        </w:rPr>
        <w:t xml:space="preserve">% მინიმუმ ერთ დოზით </w:t>
      </w:r>
    </w:p>
    <w:p w14:paraId="2AF04068" w14:textId="1FEB4FCD" w:rsidR="002C0C49" w:rsidRDefault="002C0C49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194D2607" wp14:editId="769CE9D2">
            <wp:extent cx="5190229" cy="36655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52" cy="367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8E32B" w14:textId="6D29B00D" w:rsidR="002C0C49" w:rsidRDefault="002C0C49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035B1B8A" wp14:editId="4DCB2EC3">
            <wp:extent cx="5370366" cy="3792772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53" cy="380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D942F" w14:textId="77777777" w:rsidR="00243930" w:rsidRDefault="00243930" w:rsidP="002C0C49">
      <w:pPr>
        <w:rPr>
          <w:rFonts w:eastAsia="Times New Roman" w:cs="Arial"/>
          <w:b/>
          <w:bCs/>
          <w:color w:val="000000"/>
          <w:sz w:val="23"/>
          <w:szCs w:val="23"/>
        </w:rPr>
      </w:pPr>
    </w:p>
    <w:p w14:paraId="4253EDBA" w14:textId="77777777" w:rsidR="00243930" w:rsidRDefault="00243930" w:rsidP="002C0C49">
      <w:pPr>
        <w:rPr>
          <w:rFonts w:eastAsia="Times New Roman" w:cs="Arial"/>
          <w:b/>
          <w:bCs/>
          <w:color w:val="000000"/>
          <w:sz w:val="23"/>
          <w:szCs w:val="23"/>
        </w:rPr>
      </w:pPr>
    </w:p>
    <w:p w14:paraId="61CE7CAF" w14:textId="77777777" w:rsidR="00243930" w:rsidRDefault="00243930" w:rsidP="002C0C49">
      <w:pPr>
        <w:rPr>
          <w:rFonts w:eastAsia="Times New Roman" w:cs="Arial"/>
          <w:b/>
          <w:bCs/>
          <w:color w:val="000000"/>
          <w:sz w:val="23"/>
          <w:szCs w:val="23"/>
        </w:rPr>
      </w:pPr>
    </w:p>
    <w:p w14:paraId="0786A344" w14:textId="77777777" w:rsidR="00243930" w:rsidRDefault="00243930" w:rsidP="002C0C49">
      <w:pPr>
        <w:rPr>
          <w:rFonts w:eastAsia="Times New Roman" w:cs="Arial"/>
          <w:b/>
          <w:bCs/>
          <w:color w:val="000000"/>
          <w:sz w:val="23"/>
          <w:szCs w:val="23"/>
        </w:rPr>
      </w:pPr>
    </w:p>
    <w:p w14:paraId="3739AFBB" w14:textId="49922AF4" w:rsidR="002C0C49" w:rsidRPr="002C0C49" w:rsidRDefault="002C0C49" w:rsidP="002C0C49">
      <w:pPr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rFonts w:eastAsia="Times New Roman" w:cs="Arial"/>
          <w:b/>
          <w:bCs/>
          <w:color w:val="000000"/>
          <w:sz w:val="23"/>
          <w:szCs w:val="23"/>
        </w:rPr>
        <w:lastRenderedPageBreak/>
        <w:t>ისრაელი</w:t>
      </w:r>
    </w:p>
    <w:p w14:paraId="3B176117" w14:textId="7D05EB4F" w:rsidR="002C0C49" w:rsidRP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>ვაქცინაცია დაიწყო 1</w:t>
      </w:r>
      <w:r>
        <w:rPr>
          <w:rFonts w:eastAsia="Times New Roman" w:cs="Arial"/>
          <w:color w:val="000000"/>
          <w:sz w:val="23"/>
          <w:szCs w:val="23"/>
        </w:rPr>
        <w:t>0</w:t>
      </w:r>
      <w:r w:rsidRPr="002C0C49">
        <w:rPr>
          <w:rFonts w:eastAsia="Times New Roman" w:cs="Arial"/>
          <w:color w:val="000000"/>
          <w:sz w:val="23"/>
          <w:szCs w:val="23"/>
        </w:rPr>
        <w:t>0 დღის წინ</w:t>
      </w:r>
    </w:p>
    <w:p w14:paraId="0AF48620" w14:textId="39A484EF" w:rsidR="002C0C49" w:rsidRP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 xml:space="preserve">აცრილია მოსახლეობის </w:t>
      </w:r>
      <w:r>
        <w:rPr>
          <w:rFonts w:eastAsia="Times New Roman" w:cs="Arial"/>
          <w:color w:val="000000"/>
          <w:sz w:val="23"/>
          <w:szCs w:val="23"/>
        </w:rPr>
        <w:t>54.9</w:t>
      </w:r>
      <w:r w:rsidRPr="002C0C49">
        <w:rPr>
          <w:rFonts w:eastAsia="Times New Roman" w:cs="Arial"/>
          <w:color w:val="000000"/>
          <w:sz w:val="23"/>
          <w:szCs w:val="23"/>
        </w:rPr>
        <w:t xml:space="preserve">% მინიმუმ ერთ დოზით </w:t>
      </w:r>
    </w:p>
    <w:p w14:paraId="304CE421" w14:textId="062B8ED5" w:rsidR="00B57558" w:rsidRPr="00B57558" w:rsidRDefault="002C0C49" w:rsidP="00243930">
      <w:pPr>
        <w:jc w:val="center"/>
        <w:rPr>
          <w:rFonts w:eastAsia="Times New Roman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47491436" wp14:editId="3D20A7F9">
            <wp:extent cx="4627296" cy="3267986"/>
            <wp:effectExtent l="0" t="0" r="190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075" cy="327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62C7" w14:textId="0B192D7A" w:rsidR="00B57558" w:rsidRPr="002C0C49" w:rsidRDefault="002C0C49" w:rsidP="00243930">
      <w:pPr>
        <w:jc w:val="center"/>
        <w:rPr>
          <w:rFonts w:eastAsia="Times New Roman" w:cs="Arial"/>
          <w:color w:val="000000"/>
          <w:sz w:val="23"/>
          <w:szCs w:val="23"/>
          <w:lang w:val="en-US"/>
        </w:rPr>
      </w:pPr>
      <w:r>
        <w:rPr>
          <w:noProof/>
        </w:rPr>
        <w:drawing>
          <wp:inline distT="0" distB="0" distL="0" distR="0" wp14:anchorId="6F951264" wp14:editId="66C5D567">
            <wp:extent cx="5437918" cy="3840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546" cy="384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DAB20" w14:textId="4E98D052" w:rsidR="002C0C49" w:rsidRDefault="002C0C49" w:rsidP="002C0C49">
      <w:pPr>
        <w:rPr>
          <w:rFonts w:eastAsia="Times New Roman" w:cs="Arial"/>
          <w:color w:val="000000"/>
          <w:sz w:val="23"/>
          <w:szCs w:val="23"/>
        </w:rPr>
      </w:pPr>
    </w:p>
    <w:p w14:paraId="577CB5F3" w14:textId="665D1526" w:rsidR="00243930" w:rsidRDefault="00243930" w:rsidP="002C0C49">
      <w:pPr>
        <w:rPr>
          <w:rFonts w:eastAsia="Times New Roman" w:cs="Arial"/>
          <w:color w:val="000000"/>
          <w:sz w:val="23"/>
          <w:szCs w:val="23"/>
        </w:rPr>
      </w:pPr>
    </w:p>
    <w:p w14:paraId="1C0145E6" w14:textId="77E33C07" w:rsidR="00243930" w:rsidRDefault="00243930" w:rsidP="002C0C49">
      <w:pPr>
        <w:rPr>
          <w:rFonts w:eastAsia="Times New Roman" w:cs="Arial"/>
          <w:color w:val="000000"/>
          <w:sz w:val="23"/>
          <w:szCs w:val="23"/>
        </w:rPr>
      </w:pPr>
    </w:p>
    <w:p w14:paraId="6382D094" w14:textId="2C88974E" w:rsidR="00243930" w:rsidRDefault="00243930" w:rsidP="002C0C49">
      <w:pPr>
        <w:rPr>
          <w:rFonts w:eastAsia="Times New Roman" w:cs="Arial"/>
          <w:color w:val="000000"/>
          <w:sz w:val="23"/>
          <w:szCs w:val="23"/>
        </w:rPr>
      </w:pPr>
    </w:p>
    <w:p w14:paraId="0F216780" w14:textId="77777777" w:rsidR="00243930" w:rsidRDefault="00243930" w:rsidP="002C0C49">
      <w:pPr>
        <w:rPr>
          <w:rFonts w:eastAsia="Times New Roman" w:cs="Arial"/>
          <w:color w:val="000000"/>
          <w:sz w:val="23"/>
          <w:szCs w:val="23"/>
        </w:rPr>
      </w:pPr>
    </w:p>
    <w:p w14:paraId="29F7DEBB" w14:textId="2ADB3C67" w:rsidR="002C0C49" w:rsidRPr="002C0C49" w:rsidRDefault="002C0C49" w:rsidP="002C0C49">
      <w:pPr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rFonts w:eastAsia="Times New Roman" w:cs="Arial"/>
          <w:b/>
          <w:bCs/>
          <w:color w:val="000000"/>
          <w:sz w:val="23"/>
          <w:szCs w:val="23"/>
        </w:rPr>
        <w:lastRenderedPageBreak/>
        <w:t>ესპანეთი</w:t>
      </w:r>
    </w:p>
    <w:p w14:paraId="252878F6" w14:textId="68E130C3" w:rsidR="002C0C49" w:rsidRP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 xml:space="preserve">ვაქცინაცია დაიწყო </w:t>
      </w:r>
      <w:r>
        <w:rPr>
          <w:rFonts w:eastAsia="Times New Roman" w:cs="Arial"/>
          <w:color w:val="000000"/>
          <w:sz w:val="23"/>
          <w:szCs w:val="23"/>
        </w:rPr>
        <w:t>92</w:t>
      </w:r>
      <w:r w:rsidRPr="002C0C49">
        <w:rPr>
          <w:rFonts w:eastAsia="Times New Roman" w:cs="Arial"/>
          <w:color w:val="000000"/>
          <w:sz w:val="23"/>
          <w:szCs w:val="23"/>
        </w:rPr>
        <w:t xml:space="preserve"> დღის წინ</w:t>
      </w:r>
    </w:p>
    <w:p w14:paraId="1CB544B8" w14:textId="2E63C428" w:rsid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 xml:space="preserve">აცრილია მოსახლეობის </w:t>
      </w:r>
      <w:r>
        <w:rPr>
          <w:rFonts w:eastAsia="Times New Roman" w:cs="Arial"/>
          <w:color w:val="000000"/>
          <w:sz w:val="23"/>
          <w:szCs w:val="23"/>
        </w:rPr>
        <w:t>7.</w:t>
      </w:r>
      <w:r>
        <w:rPr>
          <w:rFonts w:eastAsia="Times New Roman" w:cs="Arial"/>
          <w:color w:val="000000"/>
          <w:sz w:val="23"/>
          <w:szCs w:val="23"/>
          <w:lang w:val="en-US"/>
        </w:rPr>
        <w:t>6</w:t>
      </w:r>
      <w:r w:rsidRPr="002C0C49">
        <w:rPr>
          <w:rFonts w:eastAsia="Times New Roman" w:cs="Arial"/>
          <w:color w:val="000000"/>
          <w:sz w:val="23"/>
          <w:szCs w:val="23"/>
        </w:rPr>
        <w:t xml:space="preserve">% მინიმუმ ერთ დოზით </w:t>
      </w:r>
    </w:p>
    <w:p w14:paraId="0CC6A7E7" w14:textId="7992F784" w:rsidR="002C0C49" w:rsidRDefault="002C0C49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2B8D327B" wp14:editId="76269F02">
            <wp:extent cx="5246521" cy="370530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551" cy="370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AEEE" w14:textId="77777777" w:rsidR="00243930" w:rsidRDefault="002C0C49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5978522F" wp14:editId="7565ABD5">
            <wp:extent cx="5302815" cy="374506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615" cy="375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A52A" w14:textId="77777777" w:rsidR="00243930" w:rsidRDefault="00243930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</w:p>
    <w:p w14:paraId="7E151691" w14:textId="77777777" w:rsidR="00243930" w:rsidRDefault="00243930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</w:p>
    <w:p w14:paraId="17A1C802" w14:textId="77777777" w:rsidR="00243930" w:rsidRDefault="00243930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</w:p>
    <w:p w14:paraId="162AA5A8" w14:textId="77777777" w:rsidR="00243930" w:rsidRDefault="00243930" w:rsidP="00243930">
      <w:pPr>
        <w:jc w:val="center"/>
        <w:rPr>
          <w:rFonts w:eastAsia="Times New Roman" w:cs="Arial"/>
          <w:b/>
          <w:bCs/>
          <w:color w:val="000000"/>
          <w:sz w:val="23"/>
          <w:szCs w:val="23"/>
        </w:rPr>
      </w:pPr>
    </w:p>
    <w:p w14:paraId="47AF0680" w14:textId="3482BA1C" w:rsidR="002C0C49" w:rsidRPr="002C0C49" w:rsidRDefault="002C0C49" w:rsidP="00243930">
      <w:pPr>
        <w:rPr>
          <w:rFonts w:eastAsia="Times New Roman" w:cs="Arial"/>
          <w:b/>
          <w:bCs/>
          <w:color w:val="000000"/>
          <w:sz w:val="23"/>
          <w:szCs w:val="23"/>
        </w:rPr>
      </w:pPr>
      <w:r>
        <w:rPr>
          <w:rFonts w:eastAsia="Times New Roman" w:cs="Arial"/>
          <w:b/>
          <w:bCs/>
          <w:color w:val="000000"/>
          <w:sz w:val="23"/>
          <w:szCs w:val="23"/>
        </w:rPr>
        <w:lastRenderedPageBreak/>
        <w:t>თურქეთი</w:t>
      </w:r>
    </w:p>
    <w:p w14:paraId="209940FB" w14:textId="331C5993" w:rsidR="002C0C49" w:rsidRP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 xml:space="preserve">ვაქცინაცია დაიწყო </w:t>
      </w:r>
      <w:r>
        <w:rPr>
          <w:rFonts w:eastAsia="Times New Roman" w:cs="Arial"/>
          <w:color w:val="000000"/>
          <w:sz w:val="23"/>
          <w:szCs w:val="23"/>
        </w:rPr>
        <w:t>75</w:t>
      </w:r>
      <w:r w:rsidRPr="002C0C49">
        <w:rPr>
          <w:rFonts w:eastAsia="Times New Roman" w:cs="Arial"/>
          <w:color w:val="000000"/>
          <w:sz w:val="23"/>
          <w:szCs w:val="23"/>
        </w:rPr>
        <w:t xml:space="preserve"> დღის წინ</w:t>
      </w:r>
    </w:p>
    <w:p w14:paraId="325EA6EA" w14:textId="28A54397" w:rsidR="002C0C49" w:rsidRPr="002C0C49" w:rsidRDefault="002C0C49" w:rsidP="002C0C49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3"/>
          <w:szCs w:val="23"/>
        </w:rPr>
      </w:pPr>
      <w:r w:rsidRPr="002C0C49">
        <w:rPr>
          <w:rFonts w:eastAsia="Times New Roman" w:cs="Arial"/>
          <w:color w:val="000000"/>
          <w:sz w:val="23"/>
          <w:szCs w:val="23"/>
        </w:rPr>
        <w:t xml:space="preserve">აცრილია მოსახლეობის </w:t>
      </w:r>
      <w:r>
        <w:rPr>
          <w:rFonts w:eastAsia="Times New Roman" w:cs="Arial"/>
          <w:color w:val="000000"/>
          <w:sz w:val="23"/>
          <w:szCs w:val="23"/>
        </w:rPr>
        <w:t>8.8</w:t>
      </w:r>
      <w:r w:rsidRPr="002C0C49">
        <w:rPr>
          <w:rFonts w:eastAsia="Times New Roman" w:cs="Arial"/>
          <w:color w:val="000000"/>
          <w:sz w:val="23"/>
          <w:szCs w:val="23"/>
        </w:rPr>
        <w:t xml:space="preserve">% მინიმუმ ერთ დოზით </w:t>
      </w:r>
    </w:p>
    <w:p w14:paraId="49199567" w14:textId="3AE9EF97" w:rsidR="002C0C49" w:rsidRPr="002C0C49" w:rsidRDefault="002C0C49" w:rsidP="00243930">
      <w:pPr>
        <w:jc w:val="center"/>
        <w:rPr>
          <w:rFonts w:eastAsia="Times New Roman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7BE2AD7D" wp14:editId="5A7FE289">
            <wp:extent cx="4998831" cy="35303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465" cy="35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02853" w14:textId="32E2C241" w:rsidR="002C0C49" w:rsidRPr="002C0C49" w:rsidRDefault="002C0C49" w:rsidP="00243930">
      <w:pPr>
        <w:jc w:val="center"/>
        <w:rPr>
          <w:rFonts w:eastAsia="Times New Roman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08F37217" wp14:editId="1B249F74">
            <wp:extent cx="5291555" cy="3737113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18" cy="374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EF46" w14:textId="04EEFA37" w:rsidR="00B91ED0" w:rsidRPr="00B91ED0" w:rsidRDefault="00B91ED0" w:rsidP="002777D3"/>
    <w:sectPr w:rsidR="00B91ED0" w:rsidRPr="00B91ED0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C962B" w14:textId="77777777" w:rsidR="00743CCA" w:rsidRDefault="00743CCA" w:rsidP="00EB4CC3">
      <w:pPr>
        <w:spacing w:after="0" w:line="240" w:lineRule="auto"/>
      </w:pPr>
      <w:r>
        <w:separator/>
      </w:r>
    </w:p>
  </w:endnote>
  <w:endnote w:type="continuationSeparator" w:id="0">
    <w:p w14:paraId="17334863" w14:textId="77777777" w:rsidR="00743CCA" w:rsidRDefault="00743CCA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61964" w14:textId="77777777" w:rsidR="00743CCA" w:rsidRDefault="00743CCA" w:rsidP="00EB4CC3">
      <w:pPr>
        <w:spacing w:after="0" w:line="240" w:lineRule="auto"/>
      </w:pPr>
      <w:r>
        <w:separator/>
      </w:r>
    </w:p>
  </w:footnote>
  <w:footnote w:type="continuationSeparator" w:id="0">
    <w:p w14:paraId="1CF406E1" w14:textId="77777777" w:rsidR="00743CCA" w:rsidRDefault="00743CCA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803D84" w:rsidRPr="00112261" w:rsidRDefault="00803D84" w:rsidP="0011226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112261">
          <w:rPr>
            <w:rStyle w:val="Hyperlink"/>
            <w:sz w:val="18"/>
            <w:szCs w:val="18"/>
          </w:rPr>
          <w:t>https://www.bl</w:t>
        </w:r>
        <w:r w:rsidRPr="00112261">
          <w:rPr>
            <w:rStyle w:val="Hyperlink"/>
            <w:sz w:val="18"/>
            <w:szCs w:val="18"/>
          </w:rPr>
          <w:t>o</w:t>
        </w:r>
        <w:r w:rsidRPr="00112261">
          <w:rPr>
            <w:rStyle w:val="Hyperlink"/>
            <w:sz w:val="18"/>
            <w:szCs w:val="18"/>
          </w:rPr>
          <w:t>omberg.com/graphics/covid-vaccine-tracker-global-distribution/</w:t>
        </w:r>
      </w:hyperlink>
      <w:r w:rsidRPr="00112261">
        <w:rPr>
          <w:sz w:val="18"/>
          <w:szCs w:val="18"/>
        </w:rPr>
        <w:t xml:space="preserve"> </w:t>
      </w:r>
    </w:p>
  </w:footnote>
  <w:footnote w:id="2">
    <w:p w14:paraId="2FA02DA0" w14:textId="7D06E2F5" w:rsidR="00803D84" w:rsidRPr="00112261" w:rsidRDefault="00803D84" w:rsidP="00112261">
      <w:pPr>
        <w:pStyle w:val="FootnoteText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2" w:history="1">
        <w:r w:rsidRPr="00112261">
          <w:rPr>
            <w:rStyle w:val="Hyperlink"/>
            <w:sz w:val="18"/>
            <w:szCs w:val="18"/>
          </w:rPr>
          <w:t>https://edit</w:t>
        </w:r>
        <w:r w:rsidRPr="00112261">
          <w:rPr>
            <w:rStyle w:val="Hyperlink"/>
            <w:sz w:val="18"/>
            <w:szCs w:val="18"/>
          </w:rPr>
          <w:t>i</w:t>
        </w:r>
        <w:r w:rsidRPr="00112261">
          <w:rPr>
            <w:rStyle w:val="Hyperlink"/>
            <w:sz w:val="18"/>
            <w:szCs w:val="18"/>
          </w:rPr>
          <w:t>on.cnn.com/interactive/2021/health/global-covid-vaccinations/</w:t>
        </w:r>
      </w:hyperlink>
      <w:r w:rsidRPr="00112261">
        <w:rPr>
          <w:sz w:val="18"/>
          <w:szCs w:val="18"/>
        </w:rPr>
        <w:t xml:space="preserve"> </w:t>
      </w:r>
    </w:p>
  </w:footnote>
  <w:footnote w:id="3">
    <w:p w14:paraId="77CDF092" w14:textId="48FD2C7A" w:rsidR="00803D84" w:rsidRPr="00112261" w:rsidRDefault="00803D84" w:rsidP="00112261">
      <w:pPr>
        <w:pStyle w:val="FootnoteText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3" w:anchor="uptake-tab" w:history="1">
        <w:r w:rsidRPr="00112261">
          <w:rPr>
            <w:rStyle w:val="Hyperlink"/>
            <w:sz w:val="18"/>
            <w:szCs w:val="18"/>
          </w:rPr>
          <w:t>https://qap.ecdc.europa.eu/public/extensions/COVID-19/vaccine-tracker.html#uptake-tab</w:t>
        </w:r>
      </w:hyperlink>
      <w:r w:rsidRPr="00112261">
        <w:rPr>
          <w:sz w:val="18"/>
          <w:szCs w:val="18"/>
        </w:rPr>
        <w:t xml:space="preserve"> </w:t>
      </w:r>
    </w:p>
  </w:footnote>
  <w:footnote w:id="4">
    <w:p w14:paraId="1CDDDFF8" w14:textId="5B3C63C6" w:rsidR="00803D84" w:rsidRPr="00112261" w:rsidRDefault="00803D84" w:rsidP="00112261">
      <w:pPr>
        <w:spacing w:after="0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4" w:history="1">
        <w:r w:rsidRPr="00112261">
          <w:rPr>
            <w:rStyle w:val="Hyperlink"/>
            <w:sz w:val="18"/>
            <w:szCs w:val="18"/>
          </w:rPr>
          <w:t>https://covid19-vaccine-report.ecdc.europa.eu/</w:t>
        </w:r>
      </w:hyperlink>
      <w:r w:rsidRPr="00112261">
        <w:rPr>
          <w:sz w:val="18"/>
          <w:szCs w:val="18"/>
        </w:rPr>
        <w:t xml:space="preserve"> </w:t>
      </w:r>
    </w:p>
  </w:footnote>
  <w:footnote w:id="5">
    <w:p w14:paraId="0DA77DA7" w14:textId="4BDF16F1" w:rsidR="00803D84" w:rsidRPr="00B832AB" w:rsidRDefault="00803D84" w:rsidP="00112261">
      <w:pPr>
        <w:pStyle w:val="FootnoteText"/>
        <w:rPr>
          <w:sz w:val="18"/>
          <w:szCs w:val="18"/>
        </w:rPr>
      </w:pPr>
      <w:r w:rsidRPr="00B832AB">
        <w:rPr>
          <w:rStyle w:val="FootnoteReference"/>
          <w:sz w:val="18"/>
          <w:szCs w:val="18"/>
        </w:rPr>
        <w:footnoteRef/>
      </w:r>
      <w:r w:rsidRPr="00B832AB">
        <w:rPr>
          <w:sz w:val="18"/>
          <w:szCs w:val="18"/>
        </w:rPr>
        <w:t xml:space="preserve"> </w:t>
      </w:r>
      <w:hyperlink r:id="rId5" w:history="1">
        <w:r w:rsidRPr="00B832AB">
          <w:rPr>
            <w:rStyle w:val="Hyperlink"/>
            <w:sz w:val="18"/>
            <w:szCs w:val="18"/>
          </w:rPr>
          <w:t>https://ourworldindata.org/covid-vaccinations</w:t>
        </w:r>
      </w:hyperlink>
      <w:r w:rsidRPr="00B832AB">
        <w:rPr>
          <w:sz w:val="18"/>
          <w:szCs w:val="18"/>
        </w:rPr>
        <w:t xml:space="preserve"> </w:t>
      </w:r>
      <w:r w:rsidR="00B832AB" w:rsidRPr="00B832AB">
        <w:rPr>
          <w:sz w:val="18"/>
          <w:szCs w:val="18"/>
        </w:rPr>
        <w:t xml:space="preserve"> </w:t>
      </w:r>
    </w:p>
  </w:footnote>
  <w:footnote w:id="6">
    <w:p w14:paraId="42EF631D" w14:textId="1C073B9E" w:rsidR="00B832AB" w:rsidRPr="00B832AB" w:rsidRDefault="00B832AB">
      <w:pPr>
        <w:pStyle w:val="FootnoteText"/>
      </w:pPr>
      <w:r w:rsidRPr="00B832AB">
        <w:rPr>
          <w:rStyle w:val="FootnoteReference"/>
          <w:sz w:val="18"/>
          <w:szCs w:val="18"/>
        </w:rPr>
        <w:footnoteRef/>
      </w:r>
      <w:r w:rsidRPr="00B832AB">
        <w:rPr>
          <w:sz w:val="18"/>
          <w:szCs w:val="18"/>
        </w:rPr>
        <w:t xml:space="preserve"> </w:t>
      </w:r>
      <w:hyperlink r:id="rId6" w:history="1">
        <w:r w:rsidRPr="005C27A7">
          <w:rPr>
            <w:rStyle w:val="Hyperlink"/>
            <w:sz w:val="18"/>
            <w:szCs w:val="18"/>
          </w:rPr>
          <w:t>https://www.nytimes.com/interactive/2020/science/coronavirus-vaccine-tracker.html</w:t>
        </w:r>
      </w:hyperlink>
      <w:r w:rsidRPr="00B832AB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F171C"/>
    <w:multiLevelType w:val="hybridMultilevel"/>
    <w:tmpl w:val="8A2676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B0EFE"/>
    <w:multiLevelType w:val="hybridMultilevel"/>
    <w:tmpl w:val="D6041A4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0999"/>
    <w:rsid w:val="00112261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5837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275CA"/>
    <w:rsid w:val="00231D90"/>
    <w:rsid w:val="0024127A"/>
    <w:rsid w:val="00242D3F"/>
    <w:rsid w:val="00243930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0C49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2554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0C94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3CCA"/>
    <w:rsid w:val="00745157"/>
    <w:rsid w:val="0074596F"/>
    <w:rsid w:val="00747371"/>
    <w:rsid w:val="0075203C"/>
    <w:rsid w:val="00753D73"/>
    <w:rsid w:val="00776EAA"/>
    <w:rsid w:val="00776F8F"/>
    <w:rsid w:val="00785F2B"/>
    <w:rsid w:val="00790C8A"/>
    <w:rsid w:val="007A0FD7"/>
    <w:rsid w:val="007A6133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D19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996"/>
    <w:rsid w:val="00A37E18"/>
    <w:rsid w:val="00A4760E"/>
    <w:rsid w:val="00A509F6"/>
    <w:rsid w:val="00A514CF"/>
    <w:rsid w:val="00A51501"/>
    <w:rsid w:val="00A527F1"/>
    <w:rsid w:val="00A562FD"/>
    <w:rsid w:val="00A613A3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1D44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8056A"/>
    <w:rsid w:val="00B832AB"/>
    <w:rsid w:val="00B836EB"/>
    <w:rsid w:val="00B91ED0"/>
    <w:rsid w:val="00B9418E"/>
    <w:rsid w:val="00BA1470"/>
    <w:rsid w:val="00BB2E7E"/>
    <w:rsid w:val="00BC1CFF"/>
    <w:rsid w:val="00BD3C07"/>
    <w:rsid w:val="00BD3F58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6FCB"/>
    <w:rsid w:val="00C9782F"/>
    <w:rsid w:val="00CA497D"/>
    <w:rsid w:val="00CA5D50"/>
    <w:rsid w:val="00CB681E"/>
    <w:rsid w:val="00CD4910"/>
    <w:rsid w:val="00CE0505"/>
    <w:rsid w:val="00CE2636"/>
    <w:rsid w:val="00CE48E2"/>
    <w:rsid w:val="00CF12BD"/>
    <w:rsid w:val="00CF2B5B"/>
    <w:rsid w:val="00CF6466"/>
    <w:rsid w:val="00D01145"/>
    <w:rsid w:val="00D02F06"/>
    <w:rsid w:val="00D059FC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ap.ecdc.europa.eu/public/extensions/COVID-19/vaccine-tracker.html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nytimes.com/interactive/2020/science/coronavirus-vaccine-tracker.html" TargetMode="External"/><Relationship Id="rId5" Type="http://schemas.openxmlformats.org/officeDocument/2006/relationships/hyperlink" Target="https://ourworldindata.org/covid-vaccinations" TargetMode="External"/><Relationship Id="rId4" Type="http://schemas.openxmlformats.org/officeDocument/2006/relationships/hyperlink" Target="https://covid19-vaccine-report.ecd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4</cp:revision>
  <dcterms:created xsi:type="dcterms:W3CDTF">2021-03-29T03:36:00Z</dcterms:created>
  <dcterms:modified xsi:type="dcterms:W3CDTF">2021-03-29T04:09:00Z</dcterms:modified>
</cp:coreProperties>
</file>